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spacing w:before="4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D0357" w:rsidTr="002C4DF4">
        <w:tc>
          <w:tcPr>
            <w:tcW w:w="4253" w:type="dxa"/>
          </w:tcPr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9D0357" w:rsidRDefault="009D0357" w:rsidP="002C4DF4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искусства</w:t>
      </w:r>
    </w:p>
    <w:p w:rsidR="00CB3817" w:rsidRDefault="00CB3817">
      <w:pPr>
        <w:pStyle w:val="a3"/>
        <w:spacing w:before="10"/>
        <w:rPr>
          <w:sz w:val="28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СПЕЦИАЛЬНОСТЬ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52.05.02 РЕЖИССУРА ТЕАТРА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 xml:space="preserve">СПЕЦИАЛИЗАЦИЯ 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РЕЖИССЕР ДРАМЫ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КВАЛИФИКАЦИЯ СПЕЦИАЛИСТ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ФОРМА ОБУЧЕНИЯ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ОЧНАЯ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CB3817" w:rsidRDefault="00CB3817">
      <w:pPr>
        <w:pStyle w:val="a3"/>
        <w:spacing w:before="4"/>
        <w:rPr>
          <w:b w:val="0"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Pr="00411213" w:rsidRDefault="00411213" w:rsidP="00411213">
      <w:pPr>
        <w:widowControl/>
        <w:autoSpaceDE/>
        <w:autoSpaceDN/>
        <w:spacing w:after="63" w:line="252" w:lineRule="auto"/>
        <w:ind w:right="1353"/>
        <w:jc w:val="center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keepNext/>
        <w:keepLines/>
        <w:widowControl/>
        <w:autoSpaceDE/>
        <w:autoSpaceDN/>
        <w:spacing w:before="240" w:line="259" w:lineRule="auto"/>
        <w:rPr>
          <w:sz w:val="32"/>
          <w:szCs w:val="32"/>
          <w:lang w:bidi="ar-SA"/>
        </w:rPr>
      </w:pPr>
      <w:r w:rsidRPr="00411213">
        <w:rPr>
          <w:sz w:val="32"/>
          <w:szCs w:val="32"/>
          <w:lang w:bidi="ar-SA"/>
        </w:rPr>
        <w:lastRenderedPageBreak/>
        <w:t>Оглавление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bCs/>
          <w:lang w:bidi="ar-SA"/>
        </w:rPr>
      </w:pP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1. ПЕРЕЧЕНЬ КОМПЕТЕНЦИЙ, ФОРМИРУЕМЫХ В ПРОЦЕССЕ ОСВОЕНИЯ ДИСЦИПЛИНЫ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2. ПЛАНИРУЕМЫЕ РЕЗУЛЬТАТЫ ОБУЧЕНИЯ</w:t>
      </w:r>
      <w:r w:rsidRPr="00411213">
        <w:rPr>
          <w:lang w:bidi="ar-SA"/>
        </w:rPr>
        <w:tab/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3. ПОКАЗАТЕЛИ ОЦЕНИВАНИЯ ПЛАНИРУЕМЫХ РЕЗУЛЬТАТОВ ОБУЧЕНИЯ</w:t>
      </w:r>
      <w:r w:rsidRPr="00411213">
        <w:rPr>
          <w:lang w:bidi="ar-SA"/>
        </w:rPr>
        <w:tab/>
        <w:t>4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4. ОЦЕНОЧНЫЕ СРЕДСТВА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9</w:t>
      </w:r>
    </w:p>
    <w:p w:rsidR="00411213" w:rsidRPr="00411213" w:rsidRDefault="00451E4C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>
        <w:rPr>
          <w:lang w:bidi="ar-SA"/>
        </w:rPr>
        <w:t xml:space="preserve">5. </w:t>
      </w:r>
      <w:r w:rsidR="00411213" w:rsidRPr="00411213">
        <w:rPr>
          <w:lang w:bidi="ar-SA"/>
        </w:rPr>
        <w:t xml:space="preserve"> ОЦЕНКА ЗНАНИЙ СТУДЕНТА</w:t>
      </w:r>
      <w:r w:rsidR="00411213" w:rsidRPr="00411213">
        <w:rPr>
          <w:lang w:bidi="ar-SA"/>
        </w:rPr>
        <w:tab/>
        <w:t>.35</w:t>
      </w:r>
    </w:p>
    <w:p w:rsidR="00411213" w:rsidRPr="00411213" w:rsidRDefault="00411213" w:rsidP="00411213">
      <w:pPr>
        <w:widowControl/>
        <w:autoSpaceDE/>
        <w:autoSpaceDN/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line="276" w:lineRule="auto"/>
        <w:jc w:val="both"/>
        <w:rPr>
          <w:b/>
          <w:bCs/>
          <w:sz w:val="20"/>
          <w:szCs w:val="20"/>
          <w:lang w:eastAsia="zh-CN" w:bidi="ar-SA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4D4BBA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lastRenderedPageBreak/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4D4BB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по  порядку периоды </w:t>
      </w:r>
      <w:proofErr w:type="spellStart"/>
      <w:r w:rsidRPr="00451E4C">
        <w:rPr>
          <w:b/>
          <w:bCs/>
          <w:iCs/>
          <w:sz w:val="28"/>
          <w:szCs w:val="28"/>
          <w:lang w:eastAsia="en-US" w:bidi="ar-SA"/>
        </w:rPr>
        <w:t>развитияхудожественной</w:t>
      </w:r>
      <w:proofErr w:type="spellEnd"/>
      <w:r w:rsidRPr="00451E4C">
        <w:rPr>
          <w:b/>
          <w:bCs/>
          <w:iCs/>
          <w:sz w:val="28"/>
          <w:szCs w:val="28"/>
          <w:lang w:eastAsia="en-US" w:bidi="ar-SA"/>
        </w:rPr>
        <w:t xml:space="preserve"> культуры Древней Греции и Древнего Рима: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А.-</w:t>
      </w:r>
      <w:r w:rsidRPr="00451E4C">
        <w:rPr>
          <w:rFonts w:eastAsia="MS ??"/>
          <w:lang w:eastAsia="en-US" w:bidi="ar-SA"/>
        </w:rPr>
        <w:t xml:space="preserve">Эгейский, или крито-микенский </w:t>
      </w:r>
      <w:r w:rsidR="00873C9D">
        <w:rPr>
          <w:rFonts w:eastAsia="MS ??"/>
          <w:lang w:eastAsia="en-US" w:bidi="ar-SA"/>
        </w:rPr>
        <w:t>3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Б.-</w:t>
      </w:r>
      <w:r w:rsidRPr="00451E4C">
        <w:rPr>
          <w:rFonts w:eastAsia="MS ??"/>
          <w:lang w:eastAsia="en-US" w:bidi="ar-SA"/>
        </w:rPr>
        <w:t xml:space="preserve">Архаический </w:t>
      </w:r>
      <w:r w:rsidR="00873C9D">
        <w:rPr>
          <w:rFonts w:eastAsia="MS ??"/>
          <w:lang w:eastAsia="en-US" w:bidi="ar-SA"/>
        </w:rPr>
        <w:t>1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В.-</w:t>
      </w:r>
      <w:r w:rsidRPr="00451E4C">
        <w:rPr>
          <w:rFonts w:eastAsia="MS ??"/>
          <w:lang w:eastAsia="en-US" w:bidi="ar-SA"/>
        </w:rPr>
        <w:t xml:space="preserve">Гомеровский </w:t>
      </w:r>
      <w:r w:rsidR="00873C9D">
        <w:rPr>
          <w:rFonts w:eastAsia="MS ??"/>
          <w:lang w:eastAsia="en-US" w:bidi="ar-SA"/>
        </w:rPr>
        <w:t>5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Г.-Императорский период Древнего Рима </w:t>
      </w:r>
      <w:r w:rsidR="00873C9D">
        <w:rPr>
          <w:rFonts w:eastAsia="MS ??"/>
          <w:lang w:eastAsia="en-US" w:bidi="ar-SA"/>
        </w:rPr>
        <w:t>6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Д.-Классический </w:t>
      </w:r>
      <w:r w:rsidR="00873C9D">
        <w:rPr>
          <w:rFonts w:eastAsia="MS ??"/>
          <w:lang w:eastAsia="en-US" w:bidi="ar-SA"/>
        </w:rPr>
        <w:t>7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Е.-Республиканский период Древнего Рима </w:t>
      </w:r>
      <w:r w:rsidR="00873C9D">
        <w:rPr>
          <w:rFonts w:eastAsia="MS ??"/>
          <w:lang w:eastAsia="en-US" w:bidi="ar-SA"/>
        </w:rPr>
        <w:t>4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Ё-Эллинистический .</w:t>
      </w:r>
      <w:r w:rsidR="00873C9D">
        <w:rPr>
          <w:rFonts w:eastAsia="MS ??"/>
          <w:lang w:eastAsia="en-US" w:bidi="ar-SA"/>
        </w:rPr>
        <w:t>2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Античное искусство связано</w:t>
      </w:r>
      <w:r w:rsidR="00873C9D">
        <w:rPr>
          <w:rFonts w:eastAsia="MS ??"/>
          <w:b/>
          <w:lang w:eastAsia="en-US" w:bidi="ar-SA"/>
        </w:rPr>
        <w:t xml:space="preserve"> </w:t>
      </w:r>
      <w:r w:rsidRPr="00451E4C">
        <w:rPr>
          <w:rFonts w:eastAsia="MS ??"/>
          <w:b/>
          <w:lang w:eastAsia="en-US" w:bidi="ar-SA"/>
        </w:rPr>
        <w:t>с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  <w:r w:rsidR="00873C9D">
        <w:rPr>
          <w:rFonts w:eastAsia="MS ??"/>
          <w:lang w:eastAsia="en-US" w:bidi="ar-SA"/>
        </w:rPr>
        <w:t xml:space="preserve"> 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873C9D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в </w:t>
      </w:r>
      <w:proofErr w:type="spellStart"/>
      <w:r w:rsidRPr="00451E4C">
        <w:rPr>
          <w:rFonts w:eastAsia="MS ??"/>
          <w:lang w:eastAsia="en-US" w:bidi="ar-SA"/>
        </w:rPr>
        <w:t>г.Микены</w:t>
      </w:r>
      <w:proofErr w:type="spellEnd"/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Эллада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Зевс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вид искусство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</w:t>
      </w:r>
      <w:r w:rsidR="00873C9D" w:rsidRPr="00451E4C">
        <w:rPr>
          <w:rFonts w:eastAsia="MS ??"/>
          <w:lang w:eastAsia="en-US" w:bidi="ar-SA"/>
        </w:rPr>
        <w:t>С</w:t>
      </w:r>
      <w:r w:rsidRPr="00451E4C">
        <w:rPr>
          <w:rFonts w:eastAsia="MS ??"/>
          <w:lang w:eastAsia="en-US" w:bidi="ar-SA"/>
        </w:rPr>
        <w:t>кульптура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архаика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</w:t>
      </w:r>
      <w:r w:rsidR="00873C9D" w:rsidRPr="00451E4C">
        <w:rPr>
          <w:rFonts w:eastAsia="MS ??"/>
          <w:lang w:eastAsia="en-US" w:bidi="ar-SA"/>
        </w:rPr>
        <w:t>Э</w:t>
      </w:r>
      <w:r w:rsidRPr="00451E4C">
        <w:rPr>
          <w:rFonts w:eastAsia="MS ??"/>
          <w:lang w:eastAsia="en-US" w:bidi="ar-SA"/>
        </w:rPr>
        <w:t>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победитель спортивных соревнований (</w:t>
      </w:r>
      <w:proofErr w:type="spellStart"/>
      <w:r w:rsidRPr="00451E4C">
        <w:rPr>
          <w:rFonts w:eastAsia="MS ??"/>
          <w:lang w:eastAsia="en-US" w:bidi="ar-SA"/>
        </w:rPr>
        <w:t>курос</w:t>
      </w:r>
      <w:proofErr w:type="spellEnd"/>
      <w:r w:rsidRPr="00451E4C">
        <w:rPr>
          <w:rFonts w:eastAsia="MS ??"/>
          <w:lang w:eastAsia="en-US" w:bidi="ar-SA"/>
        </w:rPr>
        <w:t xml:space="preserve">)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спортивная фигура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мрамор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для городских собраний и торжеств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периптер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по капители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чернофигурная роспись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</w:t>
      </w:r>
      <w:proofErr w:type="gramStart"/>
      <w:r w:rsidRPr="00451E4C">
        <w:rPr>
          <w:rFonts w:eastAsia="MS ??"/>
          <w:lang w:eastAsia="en-US" w:bidi="ar-SA"/>
        </w:rPr>
        <w:t>занозу»</w:t>
      </w:r>
      <w:r w:rsidR="00873C9D">
        <w:rPr>
          <w:rFonts w:eastAsia="MS ??"/>
          <w:lang w:eastAsia="en-US" w:bidi="ar-SA"/>
        </w:rPr>
        <w:t>+</w:t>
      </w:r>
      <w:proofErr w:type="gram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</w:t>
      </w:r>
      <w:proofErr w:type="spellStart"/>
      <w:r w:rsidRPr="00451E4C">
        <w:rPr>
          <w:rFonts w:eastAsia="MS ??"/>
          <w:lang w:eastAsia="en-US" w:bidi="ar-SA"/>
        </w:rPr>
        <w:t>Поликлет</w:t>
      </w:r>
      <w:proofErr w:type="spellEnd"/>
      <w:r w:rsidRPr="00451E4C">
        <w:rPr>
          <w:rFonts w:eastAsia="MS ??"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 - укрепленная часть древнегреческого города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Фидий</w:t>
      </w:r>
      <w:r w:rsidR="00873C9D">
        <w:rPr>
          <w:rFonts w:eastAsia="MS ??"/>
          <w:lang w:eastAsia="en-US" w:bidi="ar-SA"/>
        </w:rPr>
        <w:t>+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1. Славянская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 Кирилл и Мефодий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восточных славян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gramStart"/>
      <w:r w:rsidRPr="00451E4C">
        <w:rPr>
          <w:color w:val="000000"/>
          <w:sz w:val="24"/>
          <w:szCs w:val="24"/>
          <w:lang w:bidi="ar-SA"/>
        </w:rPr>
        <w:t>береста.</w:t>
      </w:r>
      <w:r w:rsidR="00873C9D">
        <w:rPr>
          <w:color w:val="000000"/>
          <w:sz w:val="24"/>
          <w:szCs w:val="24"/>
          <w:lang w:bidi="ar-SA"/>
        </w:rPr>
        <w:t>+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мозаика</w:t>
      </w:r>
      <w:r w:rsidR="00873C9D">
        <w:rPr>
          <w:color w:val="000000"/>
          <w:sz w:val="24"/>
          <w:szCs w:val="24"/>
          <w:shd w:val="clear" w:color="auto" w:fill="FFFFFF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монастыри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Византия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эмалями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  <w:r w:rsidR="00873C9D">
        <w:rPr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Икона, мозаика, </w:t>
      </w:r>
      <w:r w:rsidRPr="00873C9D">
        <w:rPr>
          <w:strike/>
          <w:color w:val="000000"/>
          <w:sz w:val="24"/>
          <w:szCs w:val="24"/>
          <w:lang w:bidi="ar-SA"/>
        </w:rPr>
        <w:t>летопись</w:t>
      </w:r>
      <w:r w:rsidRPr="00451E4C">
        <w:rPr>
          <w:color w:val="000000"/>
          <w:sz w:val="24"/>
          <w:szCs w:val="24"/>
          <w:lang w:bidi="ar-SA"/>
        </w:rPr>
        <w:t>,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Житие, слово, </w:t>
      </w:r>
      <w:r w:rsidRPr="00873C9D">
        <w:rPr>
          <w:strike/>
          <w:color w:val="000000"/>
          <w:sz w:val="24"/>
          <w:szCs w:val="24"/>
          <w:lang w:bidi="ar-SA"/>
        </w:rPr>
        <w:t>пергамент</w:t>
      </w:r>
      <w:r w:rsidRPr="00451E4C">
        <w:rPr>
          <w:color w:val="000000"/>
          <w:sz w:val="24"/>
          <w:szCs w:val="24"/>
          <w:lang w:bidi="ar-SA"/>
        </w:rPr>
        <w:t>,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В) Илья Муромец, </w:t>
      </w:r>
      <w:r w:rsidRPr="00873C9D">
        <w:rPr>
          <w:strike/>
          <w:color w:val="000000"/>
          <w:sz w:val="24"/>
          <w:szCs w:val="24"/>
          <w:lang w:bidi="ar-SA"/>
        </w:rPr>
        <w:t>Ярослав Мудрый</w:t>
      </w:r>
      <w:r w:rsidRPr="00451E4C">
        <w:rPr>
          <w:color w:val="000000"/>
          <w:sz w:val="24"/>
          <w:szCs w:val="24"/>
          <w:lang w:bidi="ar-SA"/>
        </w:rPr>
        <w:t>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«</w:t>
      </w:r>
      <w:r w:rsidRPr="00873C9D">
        <w:rPr>
          <w:b/>
          <w:color w:val="000000"/>
          <w:sz w:val="24"/>
          <w:szCs w:val="24"/>
          <w:lang w:bidi="ar-SA"/>
        </w:rPr>
        <w:t>Повесть временных лет»</w:t>
      </w:r>
      <w:r w:rsidRPr="00451E4C">
        <w:rPr>
          <w:color w:val="000000"/>
          <w:sz w:val="24"/>
          <w:szCs w:val="24"/>
          <w:lang w:bidi="ar-SA"/>
        </w:rPr>
        <w:t xml:space="preserve"> или основание Десятинной церкви;</w:t>
      </w:r>
    </w:p>
    <w:p w:rsidR="00451E4C" w:rsidRPr="00873C9D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Основание Софийского собора в Киеве или </w:t>
      </w:r>
      <w:r w:rsidRPr="00873C9D">
        <w:rPr>
          <w:b/>
          <w:color w:val="000000"/>
          <w:sz w:val="24"/>
          <w:szCs w:val="24"/>
          <w:lang w:bidi="ar-SA"/>
        </w:rPr>
        <w:t>правление княгини Ольги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Мазаччо+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C916C0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DA4689" w:rsidRPr="00DA4689" w:rsidRDefault="00DA4689" w:rsidP="00DA4689">
      <w:pPr>
        <w:widowControl/>
        <w:autoSpaceDE/>
        <w:autoSpaceDN/>
        <w:rPr>
          <w:sz w:val="24"/>
          <w:szCs w:val="24"/>
          <w:lang w:bidi="ar-SA"/>
        </w:rPr>
      </w:pPr>
      <w:r w:rsidRPr="00DA4689">
        <w:rPr>
          <w:sz w:val="24"/>
          <w:szCs w:val="24"/>
          <w:lang w:bidi="ar-SA"/>
        </w:rPr>
        <w:t xml:space="preserve">Составитель(и): 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 xml:space="preserve">по направлению </w:t>
      </w:r>
      <w:r w:rsidRPr="00DA4689">
        <w:rPr>
          <w:bCs/>
          <w:lang w:eastAsia="en-US" w:bidi="ar-SA"/>
        </w:rPr>
        <w:t>52.05.02 «</w:t>
      </w:r>
      <w:r w:rsidRPr="00DA4689">
        <w:rPr>
          <w:bCs/>
          <w:sz w:val="24"/>
          <w:szCs w:val="24"/>
          <w:lang w:eastAsia="en-US" w:bidi="ar-SA"/>
        </w:rPr>
        <w:t>Режиссура театра»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профиль подготовки «Режиссер драмы»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Автор (ы):</w:t>
      </w:r>
      <w:r w:rsidRPr="00DA4689">
        <w:rPr>
          <w:sz w:val="24"/>
          <w:szCs w:val="24"/>
          <w:lang w:eastAsia="en-US" w:bidi="ar-SA"/>
        </w:rPr>
        <w:t xml:space="preserve"> профессор Н.В. </w:t>
      </w:r>
      <w:proofErr w:type="spellStart"/>
      <w:r w:rsidRPr="00DA4689">
        <w:rPr>
          <w:sz w:val="24"/>
          <w:szCs w:val="24"/>
          <w:lang w:eastAsia="en-US" w:bidi="ar-SA"/>
        </w:rPr>
        <w:t>Гармиза</w:t>
      </w:r>
      <w:bookmarkStart w:id="0" w:name="_GoBack"/>
      <w:bookmarkEnd w:id="0"/>
      <w:proofErr w:type="spellEnd"/>
    </w:p>
    <w:sectPr w:rsidR="00DA4689" w:rsidRPr="00DA4689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411213"/>
    <w:rsid w:val="00433422"/>
    <w:rsid w:val="00451E4C"/>
    <w:rsid w:val="005D0060"/>
    <w:rsid w:val="00873C9D"/>
    <w:rsid w:val="009D0357"/>
    <w:rsid w:val="00CB3817"/>
    <w:rsid w:val="00DA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D37A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5034</Words>
  <Characters>28699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Людмила Станиславовна Клюева</cp:lastModifiedBy>
  <cp:revision>2</cp:revision>
  <dcterms:created xsi:type="dcterms:W3CDTF">2022-11-01T13:16:00Z</dcterms:created>
  <dcterms:modified xsi:type="dcterms:W3CDTF">2022-11-01T13:16:00Z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